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3A" w:rsidRPr="00B8363A" w:rsidRDefault="00B8363A" w:rsidP="00B8363A">
      <w:pPr>
        <w:spacing w:before="240"/>
        <w:contextualSpacing/>
        <w:jc w:val="center"/>
        <w:rPr>
          <w:b/>
          <w:sz w:val="28"/>
          <w:szCs w:val="28"/>
        </w:rPr>
      </w:pPr>
      <w:r w:rsidRPr="00B8363A">
        <w:rPr>
          <w:b/>
          <w:sz w:val="28"/>
          <w:szCs w:val="28"/>
        </w:rPr>
        <w:t>Kwestionariusz do pomiaru kultury doskonałości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540"/>
        <w:gridCol w:w="539"/>
        <w:gridCol w:w="539"/>
        <w:gridCol w:w="539"/>
        <w:gridCol w:w="539"/>
      </w:tblGrid>
      <w:tr w:rsidR="00B8363A" w:rsidRPr="000B5C88" w:rsidTr="00253B70">
        <w:tc>
          <w:tcPr>
            <w:tcW w:w="9062" w:type="dxa"/>
            <w:gridSpan w:val="6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2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 w:rsidRPr="000B5C88">
              <w:rPr>
                <w:rFonts w:eastAsia="Calibri"/>
                <w:sz w:val="20"/>
                <w:szCs w:val="22"/>
                <w:lang w:eastAsia="en-US"/>
              </w:rPr>
              <w:t>zdecydowanie</w:t>
            </w:r>
            <w:proofErr w:type="gramEnd"/>
            <w:r w:rsidRPr="000B5C88">
              <w:rPr>
                <w:rFonts w:eastAsia="Calibri"/>
                <w:sz w:val="20"/>
                <w:szCs w:val="22"/>
                <w:lang w:eastAsia="en-US"/>
              </w:rPr>
              <w:t xml:space="preserve"> nie zgadzam się</w:t>
            </w:r>
          </w:p>
          <w:p w:rsidR="00B8363A" w:rsidRPr="000B5C88" w:rsidRDefault="00B8363A" w:rsidP="00B8363A">
            <w:pPr>
              <w:numPr>
                <w:ilvl w:val="0"/>
                <w:numId w:val="2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 w:rsidRPr="000B5C88">
              <w:rPr>
                <w:rFonts w:eastAsia="Calibri"/>
                <w:sz w:val="20"/>
                <w:szCs w:val="22"/>
                <w:lang w:eastAsia="en-US"/>
              </w:rPr>
              <w:t>nie</w:t>
            </w:r>
            <w:proofErr w:type="gramEnd"/>
            <w:r w:rsidRPr="000B5C88">
              <w:rPr>
                <w:rFonts w:eastAsia="Calibri"/>
                <w:sz w:val="20"/>
                <w:szCs w:val="22"/>
                <w:lang w:eastAsia="en-US"/>
              </w:rPr>
              <w:t xml:space="preserve"> zgadzam się </w:t>
            </w:r>
          </w:p>
          <w:p w:rsidR="00B8363A" w:rsidRPr="000B5C88" w:rsidRDefault="00B8363A" w:rsidP="00B8363A">
            <w:pPr>
              <w:numPr>
                <w:ilvl w:val="0"/>
                <w:numId w:val="2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 w:rsidRPr="000B5C88">
              <w:rPr>
                <w:rFonts w:eastAsia="Calibri"/>
                <w:sz w:val="20"/>
                <w:szCs w:val="22"/>
                <w:lang w:eastAsia="en-US"/>
              </w:rPr>
              <w:t>i</w:t>
            </w:r>
            <w:proofErr w:type="gramEnd"/>
            <w:r w:rsidRPr="000B5C88">
              <w:rPr>
                <w:rFonts w:eastAsia="Calibri"/>
                <w:sz w:val="20"/>
                <w:szCs w:val="22"/>
                <w:lang w:eastAsia="en-US"/>
              </w:rPr>
              <w:t xml:space="preserve"> tak i nie</w:t>
            </w:r>
          </w:p>
          <w:p w:rsidR="00B8363A" w:rsidRPr="000B5C88" w:rsidRDefault="00B8363A" w:rsidP="00B8363A">
            <w:pPr>
              <w:numPr>
                <w:ilvl w:val="0"/>
                <w:numId w:val="2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 w:rsidRPr="000B5C88">
              <w:rPr>
                <w:rFonts w:eastAsia="Calibri"/>
                <w:sz w:val="20"/>
                <w:szCs w:val="22"/>
                <w:lang w:eastAsia="en-US"/>
              </w:rPr>
              <w:t>zgadzam</w:t>
            </w:r>
            <w:proofErr w:type="gramEnd"/>
            <w:r w:rsidRPr="000B5C88">
              <w:rPr>
                <w:rFonts w:eastAsia="Calibri"/>
                <w:sz w:val="20"/>
                <w:szCs w:val="22"/>
                <w:lang w:eastAsia="en-US"/>
              </w:rPr>
              <w:t xml:space="preserve"> się </w:t>
            </w:r>
          </w:p>
          <w:p w:rsidR="00B8363A" w:rsidRPr="000B5C88" w:rsidRDefault="00B8363A" w:rsidP="00B8363A">
            <w:pPr>
              <w:numPr>
                <w:ilvl w:val="0"/>
                <w:numId w:val="2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 w:rsidRPr="000B5C88">
              <w:rPr>
                <w:rFonts w:eastAsia="Calibri"/>
                <w:sz w:val="20"/>
                <w:szCs w:val="22"/>
                <w:lang w:eastAsia="en-US"/>
              </w:rPr>
              <w:t>zdecydowanie</w:t>
            </w:r>
            <w:proofErr w:type="gramEnd"/>
            <w:r w:rsidRPr="000B5C88">
              <w:rPr>
                <w:rFonts w:eastAsia="Calibri"/>
                <w:sz w:val="20"/>
                <w:szCs w:val="22"/>
                <w:lang w:eastAsia="en-US"/>
              </w:rPr>
              <w:t xml:space="preserve"> zgadzam się 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96" w:type="dxa"/>
            <w:gridSpan w:val="5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Liczba wskazań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Kryterium 1. Strategiczne przywództwo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Najwyższe kierownictwo opracowało strategię z naciskiem na doskonalenie produktów/usług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21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Najwyższe kierownictwo stwarza warunki po temu, by wszyscy pracownicy utożsamiali się z ideą ciągłego doskonalenia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49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18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Najwyższe kierownictwo aktywnie promuje i komunikuje czytelnie ideę ciągłego doskonalenia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22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Najwyższe kierownictwo traktuje swoich pracowników jako strategiczne zasoby, zasługujące na doskonalenie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contextualSpacing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Kryterium 2. Ukierunkowanie na klienta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Wszyscy pracownicy na co dzień demonstrują doskonałość na rzecz spełnienia potrzeb klienta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Organizacja stara się o to, aby na bieżąco doskonalić swoją zdolność do spełnienia potrzeb klienta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Wyniki pomiaru satysfakcji klienta dowodzą, że organizacja na bieżąco doskonali swoją zdolność w spełnianiu potrzeb klienta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contextualSpacing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Kryterium 3. Zaangażowanie pracowników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Pracownicy na co dzień chętnie wprowadzają udoskonalenia i innowacje w swoim miejscu pracy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32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Pracownicy na co dzień chętnie dzielą się swoimi pomysłami na rzecz doskonalenia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21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Pracownicy chętnie uczestniczą w szkoleniach podnoszących ich kwalifikacje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39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Pracownicy interesują się, jak wyniki ich pracy wpływają na doskonalenie organizacji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20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contextualSpacing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Kryterium 4. Zarządzanie zasobami ludzkimi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Rekrutacja pracowników opiera się na zasadzie „najlepszy człowiek na właściwym miejscu”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19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 xml:space="preserve">W organizacji docenia się i wspiera najlepszych pracowników i ich talenty 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41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14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 organizacji dba się o relacje uczeń-mistrz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20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System awansowy w organizacji opiera się na kryterium doskonałości, z perspektywy osiągniętych efektów na danym stanowisku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Organizacja dba o dobrą i czytelną komunikację pomiędzy pracownikami na rzecz wprowadzania pomysłów służących doskonaleniu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contextualSpacing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Kryterium 5. Zarządzanie procesami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Dla procesów ustanawia się cele uwzględniające najwyższe standardy wykonania i dokumentuje się je w procedurach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30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Doskonałość wykonania pracy jest podstawową zasadą funkcjonowania w organizacji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46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28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lastRenderedPageBreak/>
              <w:t>Procesy są na bieżąco monitorowane pod kątem oceny spełnienia przyjętych standardów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45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31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Pracownicy nie dopuszczają do odstępstw z przyjętych standardów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20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Procesy są na bieżąco doskonalone z uwzględnieniem najlepszych, dostępnych technologii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Błędy w procesie się nie zdarzają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contextualSpacing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Kryterium 6. Ciągłe doskonalenie i uczenie się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 organizacji istnieje przekonanie, że ciągłe doskonalenie się opłaca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 organizacji przeznacza się środki na ciągłe doskonalenie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16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 organizacji stosuje się metody i techniki ciągłego doskonalenia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Organizacja włącza swoich dostawców i kooperantów w proces ciągłego doskonalenia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Osiągnięcia pracowników są prezentowane w widocznym miejscu celem ich wyróżnienia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Edukacja i szkolenie na wszystkich szczeblach to priorytet w organizacji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contextualSpacing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 xml:space="preserve">Kryterium 7. Prowadzenie </w:t>
            </w:r>
            <w:proofErr w:type="spellStart"/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benchmarkingu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 organizacji praktykuje się na bieżąco porównujemy się z innymi organizacjami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18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 organizacji a bieżąco porównujemy swoje własne osiągnięcia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18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Działania porównawcze przynoszą wymierne rezultaty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16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contextualSpacing/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Kryterium 8. Upełnomocnienie i praca zespołowa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</w:rPr>
            </w:pPr>
            <w:r w:rsidRPr="000B5C88">
              <w:rPr>
                <w:rFonts w:eastAsia="Calibri"/>
                <w:sz w:val="20"/>
                <w:szCs w:val="22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 xml:space="preserve">Pracownicy są zawsze zachęcani do zgłaszania pomysłów w zakresie doskonalenia 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Pomysły pracowników w zakresie doskonalenia na pewno zostaną rozważone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Pracownicy są świadomi swojego wpływu na doskonalenie w organizacji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Pracownicy otrzymują pełne wsparcie, gdy zespołowo lub indywidualnie proponują określone udoskonalenia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33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Pracownicy są zachęcani do pracy zespołowej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27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10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253B70">
            <w:pPr>
              <w:jc w:val="lef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b/>
                <w:sz w:val="20"/>
                <w:szCs w:val="22"/>
                <w:lang w:eastAsia="en-US"/>
              </w:rPr>
              <w:t>Kryterium 9. Kreatywność i innowacje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 organizacji nagradza się pracowników za ich kreatywność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Organizacja na bieżąco śledzi różne innowacje, które mogą jej dotyczyć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Organizacja współpracuje z różnymi instytucjami badawczo-rozwojowymi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42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35</w:t>
            </w:r>
          </w:p>
        </w:tc>
      </w:tr>
      <w:tr w:rsidR="00B8363A" w:rsidRPr="000B5C88" w:rsidTr="00253B70">
        <w:tc>
          <w:tcPr>
            <w:tcW w:w="6366" w:type="dxa"/>
            <w:shd w:val="clear" w:color="auto" w:fill="auto"/>
          </w:tcPr>
          <w:p w:rsidR="00B8363A" w:rsidRPr="000B5C88" w:rsidRDefault="00B8363A" w:rsidP="00B8363A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W organizacji na bieżąco wprowadza się innowacje o różnym charakterze</w:t>
            </w:r>
          </w:p>
        </w:tc>
        <w:tc>
          <w:tcPr>
            <w:tcW w:w="540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:rsidR="00B8363A" w:rsidRPr="000B5C88" w:rsidRDefault="00B8363A" w:rsidP="00253B70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B5C88">
              <w:rPr>
                <w:rFonts w:eastAsia="Calibri"/>
                <w:sz w:val="20"/>
                <w:szCs w:val="22"/>
                <w:lang w:eastAsia="en-US"/>
              </w:rPr>
              <w:t>25</w:t>
            </w:r>
          </w:p>
        </w:tc>
      </w:tr>
    </w:tbl>
    <w:p w:rsidR="00B8363A" w:rsidRDefault="00B8363A" w:rsidP="00B8363A">
      <w:pPr>
        <w:pBdr>
          <w:bottom w:val="single" w:sz="6" w:space="1" w:color="auto"/>
        </w:pBdr>
        <w:contextualSpacing/>
        <w:jc w:val="left"/>
        <w:rPr>
          <w:rFonts w:eastAsia="Calibri"/>
          <w:sz w:val="18"/>
          <w:szCs w:val="18"/>
          <w:lang w:val="en-US" w:eastAsia="en-US"/>
        </w:rPr>
      </w:pPr>
      <w:proofErr w:type="spellStart"/>
      <w:r w:rsidRPr="00141E5F">
        <w:rPr>
          <w:rFonts w:eastAsia="Calibri"/>
          <w:sz w:val="18"/>
          <w:szCs w:val="18"/>
          <w:lang w:val="en-US" w:eastAsia="en-US"/>
        </w:rPr>
        <w:t>Źródło</w:t>
      </w:r>
      <w:proofErr w:type="spellEnd"/>
      <w:r w:rsidRPr="00141E5F">
        <w:rPr>
          <w:rFonts w:eastAsia="Calibri"/>
          <w:sz w:val="18"/>
          <w:szCs w:val="18"/>
          <w:lang w:val="en-US" w:eastAsia="en-US"/>
        </w:rPr>
        <w:t xml:space="preserve">: </w:t>
      </w:r>
      <w:proofErr w:type="spellStart"/>
      <w:r w:rsidRPr="00141E5F">
        <w:rPr>
          <w:rFonts w:eastAsia="Calibri"/>
          <w:sz w:val="18"/>
          <w:szCs w:val="18"/>
          <w:lang w:val="en-US" w:eastAsia="en-US"/>
        </w:rPr>
        <w:t>Opracowanie</w:t>
      </w:r>
      <w:proofErr w:type="spellEnd"/>
      <w:r w:rsidRPr="00141E5F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141E5F">
        <w:rPr>
          <w:rFonts w:eastAsia="Calibri"/>
          <w:sz w:val="18"/>
          <w:szCs w:val="18"/>
          <w:lang w:val="en-US" w:eastAsia="en-US"/>
        </w:rPr>
        <w:t>własne</w:t>
      </w:r>
      <w:proofErr w:type="spellEnd"/>
      <w:r w:rsidRPr="00141E5F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141E5F">
        <w:rPr>
          <w:rFonts w:eastAsia="Calibri"/>
          <w:sz w:val="18"/>
          <w:szCs w:val="18"/>
          <w:lang w:val="en-US" w:eastAsia="en-US"/>
        </w:rPr>
        <w:t>na</w:t>
      </w:r>
      <w:proofErr w:type="spellEnd"/>
      <w:r w:rsidRPr="00141E5F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141E5F">
        <w:rPr>
          <w:rFonts w:eastAsia="Calibri"/>
          <w:sz w:val="18"/>
          <w:szCs w:val="18"/>
          <w:lang w:val="en-US" w:eastAsia="en-US"/>
        </w:rPr>
        <w:t>podst</w:t>
      </w:r>
      <w:proofErr w:type="spellEnd"/>
      <w:r w:rsidRPr="00141E5F">
        <w:rPr>
          <w:rFonts w:eastAsia="Calibri"/>
          <w:sz w:val="18"/>
          <w:szCs w:val="18"/>
          <w:lang w:val="en-US" w:eastAsia="en-US"/>
        </w:rPr>
        <w:t>.:</w:t>
      </w:r>
      <w:proofErr w:type="gramEnd"/>
      <w:r w:rsidRPr="00141E5F">
        <w:rPr>
          <w:rFonts w:eastAsia="Calibri"/>
          <w:sz w:val="18"/>
          <w:szCs w:val="18"/>
          <w:lang w:val="en-US" w:eastAsia="en-US"/>
        </w:rPr>
        <w:t xml:space="preserve"> [Rahman, </w:t>
      </w:r>
      <w:proofErr w:type="spellStart"/>
      <w:r w:rsidRPr="00141E5F">
        <w:rPr>
          <w:rFonts w:eastAsia="Calibri"/>
          <w:sz w:val="18"/>
          <w:szCs w:val="18"/>
          <w:lang w:val="en-US" w:eastAsia="en-US"/>
        </w:rPr>
        <w:t>Voon</w:t>
      </w:r>
      <w:proofErr w:type="spellEnd"/>
      <w:r w:rsidRPr="00141E5F">
        <w:rPr>
          <w:rFonts w:eastAsia="Calibri"/>
          <w:sz w:val="18"/>
          <w:szCs w:val="18"/>
          <w:lang w:val="en-US" w:eastAsia="en-US"/>
        </w:rPr>
        <w:t xml:space="preserve">, </w:t>
      </w:r>
      <w:proofErr w:type="spellStart"/>
      <w:r w:rsidRPr="00141E5F">
        <w:rPr>
          <w:rFonts w:eastAsia="Calibri"/>
          <w:sz w:val="18"/>
          <w:szCs w:val="18"/>
          <w:lang w:val="en-US" w:eastAsia="en-US"/>
        </w:rPr>
        <w:t>Firdaus</w:t>
      </w:r>
      <w:proofErr w:type="spellEnd"/>
      <w:r w:rsidRPr="00141E5F">
        <w:rPr>
          <w:rFonts w:eastAsia="Calibri"/>
          <w:sz w:val="18"/>
          <w:szCs w:val="18"/>
          <w:lang w:val="en-US" w:eastAsia="en-US"/>
        </w:rPr>
        <w:t>, 2016, s. 84-92].</w:t>
      </w:r>
    </w:p>
    <w:p w:rsidR="00B8363A" w:rsidRDefault="00B8363A" w:rsidP="00B8363A">
      <w:pPr>
        <w:pBdr>
          <w:bottom w:val="single" w:sz="6" w:space="1" w:color="auto"/>
        </w:pBdr>
        <w:contextualSpacing/>
        <w:jc w:val="left"/>
        <w:rPr>
          <w:rFonts w:eastAsia="Calibri"/>
          <w:sz w:val="18"/>
          <w:szCs w:val="18"/>
          <w:lang w:val="en-US" w:eastAsia="en-US"/>
        </w:rPr>
      </w:pPr>
    </w:p>
    <w:p w:rsidR="00B8363A" w:rsidRDefault="00B8363A" w:rsidP="00B8363A">
      <w:pPr>
        <w:pBdr>
          <w:bottom w:val="single" w:sz="6" w:space="1" w:color="auto"/>
        </w:pBdr>
        <w:contextualSpacing/>
        <w:jc w:val="left"/>
        <w:rPr>
          <w:rFonts w:eastAsia="Calibri"/>
          <w:sz w:val="18"/>
          <w:szCs w:val="18"/>
          <w:lang w:val="en-US" w:eastAsia="en-US"/>
        </w:rPr>
      </w:pPr>
      <w:bookmarkStart w:id="0" w:name="_GoBack"/>
      <w:bookmarkEnd w:id="0"/>
    </w:p>
    <w:sectPr w:rsidR="00B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96"/>
    <w:multiLevelType w:val="hybridMultilevel"/>
    <w:tmpl w:val="E1FE6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C2993"/>
    <w:multiLevelType w:val="hybridMultilevel"/>
    <w:tmpl w:val="8B4A3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2"/>
    <w:rsid w:val="00131BD2"/>
    <w:rsid w:val="00405060"/>
    <w:rsid w:val="00B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B386"/>
  <w15:chartTrackingRefBased/>
  <w15:docId w15:val="{B57CAEFB-82AD-4565-B4B4-BFB9383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63A"/>
    <w:pPr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Company>Uniwersyet Gdański, Wydział Zarządzania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2</cp:revision>
  <dcterms:created xsi:type="dcterms:W3CDTF">2019-11-07T16:32:00Z</dcterms:created>
  <dcterms:modified xsi:type="dcterms:W3CDTF">2019-11-07T16:33:00Z</dcterms:modified>
</cp:coreProperties>
</file>